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2A" w:rsidRDefault="00BC663E" w:rsidP="00BA3C2A">
      <w:pPr>
        <w:jc w:val="center"/>
        <w:rPr>
          <w:b/>
        </w:rPr>
      </w:pPr>
      <w:r w:rsidRPr="00BA3C2A">
        <w:rPr>
          <w:b/>
        </w:rPr>
        <w:t>PHỤ LỤ</w:t>
      </w:r>
      <w:r w:rsidR="00BA3C2A">
        <w:rPr>
          <w:b/>
        </w:rPr>
        <w:t>C 01</w:t>
      </w:r>
    </w:p>
    <w:p w:rsidR="00BC663E" w:rsidRDefault="00BC663E" w:rsidP="00BA3C2A">
      <w:pPr>
        <w:jc w:val="center"/>
        <w:rPr>
          <w:b/>
        </w:rPr>
      </w:pPr>
      <w:r w:rsidRPr="00BA3C2A">
        <w:rPr>
          <w:b/>
        </w:rPr>
        <w:t xml:space="preserve">HƯỚNG DẪN ĐĂNG KÝ </w:t>
      </w:r>
      <w:r w:rsidR="00BA3C2A" w:rsidRPr="00BA3C2A">
        <w:rPr>
          <w:b/>
        </w:rPr>
        <w:t>MẪU DẤU, MẪU CHỮ KÝ SỬ DỤNG TRÊN GIẤY CHỨNG NHẬN NGHỈ VIỆC HƯỞNG BHXH</w:t>
      </w:r>
    </w:p>
    <w:p w:rsidR="00003BBB" w:rsidRDefault="00BA3C2A" w:rsidP="00003BBB">
      <w:pPr>
        <w:jc w:val="center"/>
        <w:rPr>
          <w:b/>
          <w:i/>
        </w:rPr>
      </w:pPr>
      <w:bookmarkStart w:id="0" w:name="_GoBack"/>
      <w:r w:rsidRPr="00BA3C2A">
        <w:rPr>
          <w:b/>
          <w:i/>
        </w:rPr>
        <w:t xml:space="preserve">(Gửi kèm theo công văn số    </w:t>
      </w:r>
      <w:r w:rsidR="00CD3EB7">
        <w:rPr>
          <w:b/>
          <w:i/>
        </w:rPr>
        <w:t xml:space="preserve">    </w:t>
      </w:r>
      <w:r w:rsidRPr="00BA3C2A">
        <w:rPr>
          <w:b/>
          <w:i/>
        </w:rPr>
        <w:t xml:space="preserve"> /BHXH-CNTT ngày    /12/2018</w:t>
      </w:r>
    </w:p>
    <w:p w:rsidR="00BA3C2A" w:rsidRPr="00BA3C2A" w:rsidRDefault="0055553F" w:rsidP="00003BBB">
      <w:pPr>
        <w:jc w:val="center"/>
        <w:rPr>
          <w:b/>
          <w:i/>
        </w:rPr>
      </w:pPr>
      <w:r>
        <w:rPr>
          <w:b/>
          <w:i/>
        </w:rPr>
        <w:t xml:space="preserve"> của Bảo hiểm xã hội Việt Nam</w:t>
      </w:r>
      <w:r w:rsidR="00BA3C2A" w:rsidRPr="00BA3C2A">
        <w:rPr>
          <w:b/>
          <w:i/>
        </w:rPr>
        <w:t>)</w:t>
      </w:r>
    </w:p>
    <w:bookmarkEnd w:id="0"/>
    <w:p w:rsidR="00164413" w:rsidRDefault="00164413" w:rsidP="00164413"/>
    <w:p w:rsidR="00BA3C2A" w:rsidRPr="00164413" w:rsidRDefault="00164413" w:rsidP="00164413">
      <w:pPr>
        <w:rPr>
          <w:b/>
        </w:rPr>
      </w:pPr>
      <w:r w:rsidRPr="00164413">
        <w:rPr>
          <w:b/>
        </w:rPr>
        <w:t>1. Cơ sở</w:t>
      </w:r>
      <w:r w:rsidR="00AD3C4B">
        <w:rPr>
          <w:b/>
        </w:rPr>
        <w:t xml:space="preserve"> KCB</w:t>
      </w:r>
      <w:r w:rsidRPr="00164413">
        <w:rPr>
          <w:b/>
        </w:rPr>
        <w:t xml:space="preserve"> đã ký hợp đồng KCB BHYT</w:t>
      </w:r>
    </w:p>
    <w:p w:rsidR="00AE4BA9" w:rsidRDefault="0044275B" w:rsidP="00BC663E">
      <w:r>
        <w:t xml:space="preserve">- </w:t>
      </w:r>
      <w:r w:rsidR="00AE4BA9" w:rsidRPr="0044275B">
        <w:rPr>
          <w:b/>
        </w:rPr>
        <w:t>B</w:t>
      </w:r>
      <w:r w:rsidRPr="0044275B">
        <w:rPr>
          <w:b/>
        </w:rPr>
        <w:t xml:space="preserve">ước </w:t>
      </w:r>
      <w:r w:rsidR="00AE4BA9" w:rsidRPr="0044275B">
        <w:rPr>
          <w:b/>
        </w:rPr>
        <w:t>1</w:t>
      </w:r>
      <w:r w:rsidR="00AE4BA9">
        <w:t>. Đăng nhập Cổng tiếp nhận dữ liệu Hệ thống thông tin giám định BHYT</w:t>
      </w:r>
      <w:r w:rsidR="008D4D96">
        <w:t xml:space="preserve"> (Cổ</w:t>
      </w:r>
      <w:r w:rsidR="00C33460">
        <w:t>ng GĐ</w:t>
      </w:r>
      <w:r w:rsidR="008D4D96">
        <w:t>BHYT)</w:t>
      </w:r>
      <w:r w:rsidR="00AE4BA9">
        <w:t xml:space="preserve"> tại địa chỉ </w:t>
      </w:r>
      <w:hyperlink r:id="rId7" w:history="1">
        <w:r w:rsidR="00AE4BA9" w:rsidRPr="0038640F">
          <w:rPr>
            <w:rStyle w:val="Hyperlink"/>
          </w:rPr>
          <w:t>https://gdbhyt.baohiemxahoi.gov.vn</w:t>
        </w:r>
      </w:hyperlink>
      <w:r w:rsidR="00AE4BA9">
        <w:t xml:space="preserve"> </w:t>
      </w:r>
      <w:r w:rsidR="00F06742">
        <w:t xml:space="preserve">bằng </w:t>
      </w:r>
      <w:r w:rsidR="00F06742" w:rsidRPr="00BA4010">
        <w:rPr>
          <w:b/>
        </w:rPr>
        <w:t>tài khoản và mật khẩu</w:t>
      </w:r>
      <w:r w:rsidR="00F06742">
        <w:t xml:space="preserve"> đã được Bảo hiểm xã hội Việt Nam cấp.</w:t>
      </w:r>
    </w:p>
    <w:p w:rsidR="00385D36" w:rsidRDefault="00385D36" w:rsidP="00385D36">
      <w:pPr>
        <w:jc w:val="center"/>
      </w:pPr>
      <w:r>
        <w:rPr>
          <w:noProof/>
        </w:rPr>
        <w:drawing>
          <wp:inline distT="0" distB="0" distL="0" distR="0" wp14:anchorId="576DD22B" wp14:editId="31D9A2B8">
            <wp:extent cx="3111500" cy="199853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2343" cy="1999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BA9" w:rsidRDefault="00AE4BA9" w:rsidP="00BC663E"/>
    <w:p w:rsidR="00385D36" w:rsidRPr="0044275B" w:rsidRDefault="0044275B" w:rsidP="00BC663E">
      <w:pPr>
        <w:rPr>
          <w:b/>
        </w:rPr>
      </w:pPr>
      <w:r>
        <w:t xml:space="preserve">- </w:t>
      </w:r>
      <w:r w:rsidR="00385D36" w:rsidRPr="0044275B">
        <w:rPr>
          <w:b/>
        </w:rPr>
        <w:t>Bước 2</w:t>
      </w:r>
      <w:r w:rsidR="00385D36">
        <w:t xml:space="preserve">. Chọn chức năng </w:t>
      </w:r>
      <w:r w:rsidR="00385D36" w:rsidRPr="0044275B">
        <w:rPr>
          <w:b/>
        </w:rPr>
        <w:t>Cấp chứng từ -&gt; Đăng ký cấp chứng từ</w:t>
      </w:r>
    </w:p>
    <w:p w:rsidR="0044275B" w:rsidRDefault="0044275B" w:rsidP="00BC663E">
      <w:r>
        <w:rPr>
          <w:noProof/>
        </w:rPr>
        <w:drawing>
          <wp:inline distT="0" distB="0" distL="0" distR="0" wp14:anchorId="5873F3D9" wp14:editId="187F7644">
            <wp:extent cx="5760720" cy="3230245"/>
            <wp:effectExtent l="19050" t="19050" r="11430" b="273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02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4275B" w:rsidRDefault="0044275B" w:rsidP="00AE4BA9">
      <w:pPr>
        <w:rPr>
          <w:b/>
        </w:rPr>
      </w:pPr>
    </w:p>
    <w:p w:rsidR="006C503A" w:rsidRDefault="006C503A" w:rsidP="00AE4BA9">
      <w:r w:rsidRPr="006C503A">
        <w:lastRenderedPageBreak/>
        <w:t>Màn hình sẽ hiển thị như sau:</w:t>
      </w:r>
    </w:p>
    <w:p w:rsidR="006C503A" w:rsidRPr="006C503A" w:rsidRDefault="006C503A" w:rsidP="00AE4BA9">
      <w:r>
        <w:rPr>
          <w:noProof/>
        </w:rPr>
        <w:drawing>
          <wp:inline distT="0" distB="0" distL="0" distR="0" wp14:anchorId="1C0B0FA1" wp14:editId="7E8A74C7">
            <wp:extent cx="5932170" cy="2133600"/>
            <wp:effectExtent l="19050" t="19050" r="11430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2390" cy="21336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207AE" w:rsidRDefault="00C77A63" w:rsidP="00B207AE">
      <w:r>
        <w:rPr>
          <w:b/>
        </w:rPr>
        <w:t>- Bước 3.</w:t>
      </w:r>
      <w:r w:rsidR="00163F49">
        <w:rPr>
          <w:b/>
        </w:rPr>
        <w:t xml:space="preserve"> </w:t>
      </w:r>
      <w:r w:rsidR="00163F49" w:rsidRPr="00163F49">
        <w:t xml:space="preserve">Chọn nút </w:t>
      </w:r>
      <w:r w:rsidR="00163F49">
        <w:t xml:space="preserve"> </w:t>
      </w:r>
      <w:r w:rsidR="00163F49">
        <w:rPr>
          <w:noProof/>
        </w:rPr>
        <w:drawing>
          <wp:inline distT="0" distB="0" distL="0" distR="0" wp14:anchorId="7BA8D6A7" wp14:editId="769150AF">
            <wp:extent cx="361950" cy="373087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73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3F49">
        <w:t xml:space="preserve"> </w:t>
      </w:r>
      <w:r w:rsidR="00163F49" w:rsidRPr="00163F49">
        <w:t>để k</w:t>
      </w:r>
      <w:r w:rsidR="006E66A6" w:rsidRPr="00163F49">
        <w:t>hai</w:t>
      </w:r>
      <w:r w:rsidR="006E66A6">
        <w:t xml:space="preserve"> báo các thông tin để Đăng ký quyền cấp chứng từ</w:t>
      </w:r>
      <w:r w:rsidR="00B207AE">
        <w:t>.</w:t>
      </w:r>
    </w:p>
    <w:p w:rsidR="00B207AE" w:rsidRDefault="00B207AE" w:rsidP="00B207AE">
      <w:r>
        <w:rPr>
          <w:noProof/>
        </w:rPr>
        <w:drawing>
          <wp:inline distT="0" distB="0" distL="0" distR="0" wp14:anchorId="4A6F2CC2" wp14:editId="2614E206">
            <wp:extent cx="5454650" cy="1599357"/>
            <wp:effectExtent l="19050" t="19050" r="12700" b="203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54650" cy="159935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207AE" w:rsidRDefault="00B207AE" w:rsidP="00B207AE">
      <w:r>
        <w:t>Trong đó:</w:t>
      </w:r>
    </w:p>
    <w:p w:rsidR="006E66A6" w:rsidRDefault="00705747" w:rsidP="00B207AE">
      <w:pPr>
        <w:ind w:firstLine="720"/>
      </w:pPr>
      <w:r>
        <w:t xml:space="preserve">+ Email: </w:t>
      </w:r>
      <w:r w:rsidR="003763EC">
        <w:t>tài khoản thư điện tử liên hệ.</w:t>
      </w:r>
    </w:p>
    <w:p w:rsidR="00A13EEB" w:rsidRDefault="00A13EEB" w:rsidP="00714585">
      <w:pPr>
        <w:ind w:left="720"/>
      </w:pPr>
      <w:r>
        <w:t xml:space="preserve">+ Số điện thoại: </w:t>
      </w:r>
      <w:r w:rsidR="00F2368F">
        <w:t>Điện thoại liên hệ.</w:t>
      </w:r>
    </w:p>
    <w:p w:rsidR="009311B2" w:rsidRDefault="009311B2" w:rsidP="00714585">
      <w:pPr>
        <w:ind w:left="720"/>
      </w:pPr>
      <w:r>
        <w:t>+ CQ quản lý BHXH: Chọn cơ quan BHXH quản lý trực tiếp.</w:t>
      </w:r>
    </w:p>
    <w:p w:rsidR="009311B2" w:rsidRDefault="00C05B3F" w:rsidP="00714585">
      <w:pPr>
        <w:ind w:left="720"/>
      </w:pPr>
      <w:r>
        <w:t xml:space="preserve">+ Giấy phép HĐ: Số của giấy phép </w:t>
      </w:r>
      <w:r w:rsidR="004F0FE6">
        <w:t>hoạt động</w:t>
      </w:r>
    </w:p>
    <w:p w:rsidR="004F0FE6" w:rsidRDefault="004F0FE6" w:rsidP="00714585">
      <w:pPr>
        <w:ind w:left="720"/>
      </w:pPr>
      <w:r>
        <w:t>+ Ngày cấp GP: Ngày cấp giấy phép hoạt động.</w:t>
      </w:r>
    </w:p>
    <w:p w:rsidR="004F0FE6" w:rsidRDefault="004F0FE6" w:rsidP="00714585">
      <w:pPr>
        <w:ind w:left="720"/>
      </w:pPr>
      <w:r>
        <w:t xml:space="preserve">+ Người ĐD kí: </w:t>
      </w:r>
      <w:r w:rsidR="00500DB9">
        <w:t>Tên người đại diện ký trên Phụ lục 8 (theo TT 56/2017/TT-BYT)</w:t>
      </w:r>
    </w:p>
    <w:p w:rsidR="00500DB9" w:rsidRDefault="00035E18" w:rsidP="00714585">
      <w:pPr>
        <w:ind w:left="720"/>
      </w:pPr>
      <w:r>
        <w:t>+ Nơi nhận:</w:t>
      </w:r>
      <w:r w:rsidR="00500DB9">
        <w:t xml:space="preserve"> Như nơi nhận trên Phụ lục 8 (theo TT 56/2017/TT-BYT)</w:t>
      </w:r>
    </w:p>
    <w:p w:rsidR="00035E18" w:rsidRDefault="00035E18" w:rsidP="00714585">
      <w:pPr>
        <w:ind w:left="720"/>
      </w:pPr>
      <w:r>
        <w:t>+ Mẫu đăng kí đính kèm:</w:t>
      </w:r>
      <w:r w:rsidR="00D95007">
        <w:t xml:space="preserve"> </w:t>
      </w:r>
      <w:r w:rsidR="00001216">
        <w:t>Phụ lục 8 (theo TT 56/2017/TT-BYT) có chữ ký, đóng dấu đỏ.</w:t>
      </w:r>
    </w:p>
    <w:p w:rsidR="00035E18" w:rsidRDefault="00035E18" w:rsidP="00714585">
      <w:pPr>
        <w:ind w:left="720"/>
      </w:pPr>
      <w:r>
        <w:t xml:space="preserve">+ Thêm người hành nghề: </w:t>
      </w:r>
      <w:r w:rsidR="00DA5A26">
        <w:t>Thêm danh sách người h</w:t>
      </w:r>
      <w:r w:rsidR="00DA5A26" w:rsidRPr="00DA5A26">
        <w:t>ành nghề được phép ký giấy chứng nhận nghỉ việc hưởng bảo hiểm xã hội</w:t>
      </w:r>
      <w:r w:rsidR="00DA5A26">
        <w:t xml:space="preserve"> theo Phụ lục 8 gửi kèm.</w:t>
      </w:r>
    </w:p>
    <w:p w:rsidR="00714585" w:rsidRPr="004E6DD1" w:rsidRDefault="00714585" w:rsidP="006E296C">
      <w:pPr>
        <w:jc w:val="both"/>
      </w:pPr>
      <w:r>
        <w:rPr>
          <w:b/>
        </w:rPr>
        <w:lastRenderedPageBreak/>
        <w:t xml:space="preserve">- Bước 4. </w:t>
      </w:r>
      <w:r w:rsidRPr="00714585">
        <w:t>Chọn</w:t>
      </w:r>
      <w:r>
        <w:rPr>
          <w:b/>
        </w:rPr>
        <w:t xml:space="preserve"> Đăng ký</w:t>
      </w:r>
      <w:r w:rsidR="004E6DD1">
        <w:t xml:space="preserve">. Nếu cơ quan BHXH từ chối sẽ thông báo lý do </w:t>
      </w:r>
      <w:r w:rsidR="00AD3C4B">
        <w:t>vào email của</w:t>
      </w:r>
      <w:r w:rsidR="004E6DD1">
        <w:t xml:space="preserve"> cơ sở</w:t>
      </w:r>
      <w:r w:rsidR="00AD3C4B">
        <w:t xml:space="preserve"> KCB. Nếu cơ quan BHXH phê duyệt, cơ sở KCB sẽ thấ</w:t>
      </w:r>
      <w:r w:rsidR="006E296C">
        <w:t xml:space="preserve">y tại màn hình </w:t>
      </w:r>
      <w:r w:rsidR="006E296C" w:rsidRPr="006E296C">
        <w:rPr>
          <w:b/>
        </w:rPr>
        <w:t>Kết quả gửi hồ sơ</w:t>
      </w:r>
      <w:r w:rsidR="006E296C">
        <w:t>.</w:t>
      </w:r>
    </w:p>
    <w:p w:rsidR="00AE4BA9" w:rsidRPr="00164413" w:rsidRDefault="00AE4BA9" w:rsidP="00AE4BA9">
      <w:pPr>
        <w:rPr>
          <w:b/>
        </w:rPr>
      </w:pPr>
      <w:r>
        <w:rPr>
          <w:b/>
        </w:rPr>
        <w:t>2</w:t>
      </w:r>
      <w:r w:rsidRPr="00164413">
        <w:rPr>
          <w:b/>
        </w:rPr>
        <w:t>. Cơ sở</w:t>
      </w:r>
      <w:r w:rsidR="00AD3C4B">
        <w:rPr>
          <w:b/>
        </w:rPr>
        <w:t xml:space="preserve"> KCB</w:t>
      </w:r>
      <w:r w:rsidRPr="00164413">
        <w:rPr>
          <w:b/>
        </w:rPr>
        <w:t xml:space="preserve"> </w:t>
      </w:r>
      <w:r>
        <w:rPr>
          <w:b/>
        </w:rPr>
        <w:t>chưa</w:t>
      </w:r>
      <w:r w:rsidRPr="00164413">
        <w:rPr>
          <w:b/>
        </w:rPr>
        <w:t xml:space="preserve"> ký hợp đồng KCB BHYT</w:t>
      </w:r>
    </w:p>
    <w:p w:rsidR="00AE4BA9" w:rsidRDefault="00BA4010" w:rsidP="00BC663E">
      <w:r>
        <w:t xml:space="preserve">- </w:t>
      </w:r>
      <w:r>
        <w:rPr>
          <w:b/>
        </w:rPr>
        <w:t xml:space="preserve">Bước 1. </w:t>
      </w:r>
      <w:r w:rsidR="000345F3">
        <w:t xml:space="preserve">Truy cập Cổng tiếp nhận dữ liệu Hệ thống thông tin giám định BHYT (Cổng GĐBHYT) tại địa chỉ </w:t>
      </w:r>
      <w:hyperlink r:id="rId13" w:history="1">
        <w:r w:rsidR="000345F3" w:rsidRPr="0038640F">
          <w:rPr>
            <w:rStyle w:val="Hyperlink"/>
          </w:rPr>
          <w:t>https://gdbhyt.baohiemxahoi.gov.vn</w:t>
        </w:r>
      </w:hyperlink>
    </w:p>
    <w:p w:rsidR="000345F3" w:rsidRPr="00F36301" w:rsidRDefault="000345F3" w:rsidP="00BC663E">
      <w:r>
        <w:t xml:space="preserve">- </w:t>
      </w:r>
      <w:r w:rsidRPr="00F12E2D">
        <w:rPr>
          <w:b/>
        </w:rPr>
        <w:t>Bước 2</w:t>
      </w:r>
      <w:r>
        <w:t xml:space="preserve">. </w:t>
      </w:r>
      <w:r w:rsidR="00F36301">
        <w:t xml:space="preserve">Chọn </w:t>
      </w:r>
      <w:r w:rsidR="00F36301" w:rsidRPr="00F36301">
        <w:rPr>
          <w:b/>
        </w:rPr>
        <w:t>Đăng ký cấp chứng từ</w:t>
      </w:r>
      <w:r w:rsidR="00F36301">
        <w:rPr>
          <w:b/>
        </w:rPr>
        <w:t xml:space="preserve"> </w:t>
      </w:r>
      <w:r w:rsidR="00F36301">
        <w:t>như hình sau:</w:t>
      </w:r>
    </w:p>
    <w:p w:rsidR="00F12E2D" w:rsidRPr="00BA4010" w:rsidRDefault="00F12E2D" w:rsidP="00F12E2D">
      <w:pPr>
        <w:jc w:val="center"/>
      </w:pPr>
      <w:r>
        <w:rPr>
          <w:noProof/>
        </w:rPr>
        <w:drawing>
          <wp:inline distT="0" distB="0" distL="0" distR="0" wp14:anchorId="4CCCF5E4" wp14:editId="5E1C68F9">
            <wp:extent cx="3105937" cy="19672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06244" cy="1967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301" w:rsidRDefault="00F36301" w:rsidP="00F36301">
      <w:r w:rsidRPr="00F36301">
        <w:rPr>
          <w:b/>
        </w:rPr>
        <w:t>- Bước 3</w:t>
      </w:r>
      <w:r>
        <w:t xml:space="preserve">. Chọn </w:t>
      </w:r>
      <w:r w:rsidRPr="00D23BE5">
        <w:rPr>
          <w:b/>
        </w:rPr>
        <w:t>Đăng ký tài khoản</w:t>
      </w:r>
      <w:r>
        <w:t xml:space="preserve"> như hình sau:</w:t>
      </w:r>
    </w:p>
    <w:p w:rsidR="00F36301" w:rsidRDefault="00F36301" w:rsidP="00F36301">
      <w:pPr>
        <w:jc w:val="center"/>
      </w:pPr>
      <w:r>
        <w:rPr>
          <w:noProof/>
        </w:rPr>
        <w:drawing>
          <wp:inline distT="0" distB="0" distL="0" distR="0" wp14:anchorId="49FCCAB5" wp14:editId="4DCFCEAB">
            <wp:extent cx="2705100" cy="2016004"/>
            <wp:effectExtent l="19050" t="19050" r="19050" b="2286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05789" cy="201651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763EC" w:rsidRDefault="003763EC" w:rsidP="00BC663E"/>
    <w:p w:rsidR="00811F67" w:rsidRDefault="003763EC" w:rsidP="00811F67">
      <w:r>
        <w:t xml:space="preserve">- </w:t>
      </w:r>
      <w:r w:rsidRPr="003763EC">
        <w:rPr>
          <w:b/>
        </w:rPr>
        <w:t>Bước 4</w:t>
      </w:r>
      <w:r>
        <w:t xml:space="preserve">. </w:t>
      </w:r>
      <w:r w:rsidR="00811F67">
        <w:t>Khai báo các thông tin để Đăng ký quyền cấp chứng từ</w:t>
      </w:r>
      <w:r w:rsidR="00B207AE">
        <w:t>.</w:t>
      </w:r>
    </w:p>
    <w:p w:rsidR="00B207AE" w:rsidRDefault="00B207AE" w:rsidP="00811F67">
      <w:r>
        <w:rPr>
          <w:noProof/>
        </w:rPr>
        <w:drawing>
          <wp:inline distT="0" distB="0" distL="0" distR="0" wp14:anchorId="61C67DD4" wp14:editId="16D60EAD">
            <wp:extent cx="5454650" cy="1599357"/>
            <wp:effectExtent l="19050" t="19050" r="12700" b="203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54650" cy="159935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207AE" w:rsidRDefault="00B207AE" w:rsidP="00B207AE">
      <w:r>
        <w:t>Trong đó:</w:t>
      </w:r>
    </w:p>
    <w:p w:rsidR="00811F67" w:rsidRDefault="00811F67" w:rsidP="00811F67">
      <w:pPr>
        <w:ind w:left="720"/>
      </w:pPr>
      <w:r>
        <w:t>+ Email: tài khoản thư điện tử liên hệ.</w:t>
      </w:r>
    </w:p>
    <w:p w:rsidR="00811F67" w:rsidRDefault="00811F67" w:rsidP="00811F67">
      <w:pPr>
        <w:ind w:left="720"/>
      </w:pPr>
      <w:r>
        <w:lastRenderedPageBreak/>
        <w:t>+ Số điện thoại: Điện thoại liên hệ.</w:t>
      </w:r>
    </w:p>
    <w:p w:rsidR="00811F67" w:rsidRDefault="00811F67" w:rsidP="00811F67">
      <w:pPr>
        <w:ind w:left="720"/>
      </w:pPr>
      <w:r>
        <w:t>+ CQ quản lý BHXH: Chọn cơ quan BHXH quản lý trực tiếp.</w:t>
      </w:r>
    </w:p>
    <w:p w:rsidR="00811F67" w:rsidRDefault="00811F67" w:rsidP="00811F67">
      <w:pPr>
        <w:ind w:left="720"/>
      </w:pPr>
      <w:r>
        <w:t>+ Giấy phép HĐ: Số của giấy phép hoạt động</w:t>
      </w:r>
    </w:p>
    <w:p w:rsidR="00811F67" w:rsidRDefault="00811F67" w:rsidP="00811F67">
      <w:pPr>
        <w:ind w:left="720"/>
      </w:pPr>
      <w:r>
        <w:t>+ Ngày cấp GP: Ngày cấp giấy phép hoạt động.</w:t>
      </w:r>
    </w:p>
    <w:p w:rsidR="00811F67" w:rsidRDefault="00811F67" w:rsidP="00811F67">
      <w:pPr>
        <w:ind w:left="720"/>
      </w:pPr>
      <w:r>
        <w:t>+ Người ĐD kí: Tên người đại diện ký trên Phụ lục 8 (theo TT 56/2017/TT-BYT)</w:t>
      </w:r>
    </w:p>
    <w:p w:rsidR="00811F67" w:rsidRDefault="00811F67" w:rsidP="00811F67">
      <w:pPr>
        <w:ind w:left="720"/>
      </w:pPr>
      <w:r>
        <w:t>+ Nơi nhận: Như nơi nhận trên Phụ lục 8 (theo TT 56/2017/TT-BYT)</w:t>
      </w:r>
    </w:p>
    <w:p w:rsidR="00811F67" w:rsidRDefault="00811F67" w:rsidP="00811F67">
      <w:pPr>
        <w:ind w:left="720"/>
      </w:pPr>
      <w:r>
        <w:t>+ Mẫu đăng kí đính kèm: Phụ lục 8 (theo TT 56/2017/TT-BYT) có chữ ký, đóng dấu đỏ.</w:t>
      </w:r>
    </w:p>
    <w:p w:rsidR="00427898" w:rsidRDefault="00811F67" w:rsidP="002F6616">
      <w:pPr>
        <w:ind w:left="720"/>
      </w:pPr>
      <w:r>
        <w:t>+ Thêm người hành nghề: Thêm danh sách người h</w:t>
      </w:r>
      <w:r w:rsidRPr="00DA5A26">
        <w:t>ành nghề được phép ký giấy chứng nhận nghỉ việc hưởng bảo hiểm xã hội</w:t>
      </w:r>
      <w:r>
        <w:t xml:space="preserve"> theo Phụ lục 8 gửi kèm.</w:t>
      </w:r>
    </w:p>
    <w:p w:rsidR="009552BC" w:rsidRDefault="009552BC" w:rsidP="009552BC">
      <w:pPr>
        <w:spacing w:after="120" w:line="288" w:lineRule="auto"/>
      </w:pPr>
    </w:p>
    <w:p w:rsidR="003763EC" w:rsidRDefault="00811F67" w:rsidP="009552BC">
      <w:pPr>
        <w:spacing w:after="120" w:line="288" w:lineRule="auto"/>
      </w:pPr>
      <w:r>
        <w:rPr>
          <w:b/>
        </w:rPr>
        <w:t xml:space="preserve">- Bước 5. </w:t>
      </w:r>
      <w:r w:rsidRPr="00714585">
        <w:t>Chọn</w:t>
      </w:r>
      <w:r>
        <w:rPr>
          <w:b/>
        </w:rPr>
        <w:t xml:space="preserve"> Đăng ký</w:t>
      </w:r>
      <w:r w:rsidR="00CD3EB7">
        <w:rPr>
          <w:b/>
        </w:rPr>
        <w:t xml:space="preserve"> </w:t>
      </w:r>
      <w:r w:rsidR="00CD3EB7">
        <w:t xml:space="preserve">và đợi Cổng GĐ BHYT gửi tài khoản và mật khẩu vào email đã khai báo ở </w:t>
      </w:r>
      <w:r w:rsidR="00CD3EB7" w:rsidRPr="00CD3EB7">
        <w:rPr>
          <w:b/>
        </w:rPr>
        <w:t>Bước 4</w:t>
      </w:r>
      <w:r w:rsidR="004E5745">
        <w:t>. Khi đăng ký thành công, cơ sở KCB sẽ nhìn thấy màn hình sau:</w:t>
      </w:r>
    </w:p>
    <w:p w:rsidR="004E5745" w:rsidRPr="00CD3EB7" w:rsidRDefault="004E5745" w:rsidP="00811F67">
      <w:r>
        <w:rPr>
          <w:noProof/>
        </w:rPr>
        <w:drawing>
          <wp:inline distT="0" distB="0" distL="0" distR="0" wp14:anchorId="7A1313B1" wp14:editId="6693F4C2">
            <wp:extent cx="5575300" cy="1649482"/>
            <wp:effectExtent l="19050" t="19050" r="25400" b="273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164948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E5745" w:rsidRPr="00CD3EB7" w:rsidSect="00D96808">
      <w:footerReference w:type="default" r:id="rId17"/>
      <w:pgSz w:w="11907" w:h="16840" w:code="9"/>
      <w:pgMar w:top="1134" w:right="113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9FC" w:rsidRDefault="00E909FC" w:rsidP="003F0E41">
      <w:pPr>
        <w:spacing w:before="0"/>
      </w:pPr>
      <w:r>
        <w:separator/>
      </w:r>
    </w:p>
  </w:endnote>
  <w:endnote w:type="continuationSeparator" w:id="0">
    <w:p w:rsidR="00E909FC" w:rsidRDefault="00E909FC" w:rsidP="003F0E4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50001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0E41" w:rsidRDefault="003F0E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9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0E41" w:rsidRDefault="003F0E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9FC" w:rsidRDefault="00E909FC" w:rsidP="003F0E41">
      <w:pPr>
        <w:spacing w:before="0"/>
      </w:pPr>
      <w:r>
        <w:separator/>
      </w:r>
    </w:p>
  </w:footnote>
  <w:footnote w:type="continuationSeparator" w:id="0">
    <w:p w:rsidR="00E909FC" w:rsidRDefault="00E909FC" w:rsidP="003F0E4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7F1B"/>
    <w:multiLevelType w:val="hybridMultilevel"/>
    <w:tmpl w:val="F7041B9C"/>
    <w:lvl w:ilvl="0" w:tplc="18222C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B4D56"/>
    <w:multiLevelType w:val="hybridMultilevel"/>
    <w:tmpl w:val="D1D80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93D43"/>
    <w:multiLevelType w:val="hybridMultilevel"/>
    <w:tmpl w:val="B6207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B062E"/>
    <w:multiLevelType w:val="hybridMultilevel"/>
    <w:tmpl w:val="19448E52"/>
    <w:lvl w:ilvl="0" w:tplc="47F272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83"/>
    <w:rsid w:val="00001216"/>
    <w:rsid w:val="00003BBB"/>
    <w:rsid w:val="000345F3"/>
    <w:rsid w:val="00035E18"/>
    <w:rsid w:val="00163F49"/>
    <w:rsid w:val="00164413"/>
    <w:rsid w:val="001809D4"/>
    <w:rsid w:val="002414FC"/>
    <w:rsid w:val="002F6616"/>
    <w:rsid w:val="003009EE"/>
    <w:rsid w:val="003763EC"/>
    <w:rsid w:val="00385D36"/>
    <w:rsid w:val="003F0E41"/>
    <w:rsid w:val="004225C7"/>
    <w:rsid w:val="00427898"/>
    <w:rsid w:val="0044275B"/>
    <w:rsid w:val="00466F6F"/>
    <w:rsid w:val="004E5745"/>
    <w:rsid w:val="004E6DD1"/>
    <w:rsid w:val="004F0FE6"/>
    <w:rsid w:val="00500DB9"/>
    <w:rsid w:val="00544F5C"/>
    <w:rsid w:val="0055553F"/>
    <w:rsid w:val="006A385D"/>
    <w:rsid w:val="006C503A"/>
    <w:rsid w:val="006E296C"/>
    <w:rsid w:val="006E66A6"/>
    <w:rsid w:val="00705747"/>
    <w:rsid w:val="00714585"/>
    <w:rsid w:val="00811F67"/>
    <w:rsid w:val="00842ADD"/>
    <w:rsid w:val="008C68A4"/>
    <w:rsid w:val="008D4D96"/>
    <w:rsid w:val="00914483"/>
    <w:rsid w:val="00925557"/>
    <w:rsid w:val="009311B2"/>
    <w:rsid w:val="009552BC"/>
    <w:rsid w:val="009B20FB"/>
    <w:rsid w:val="00A13EEB"/>
    <w:rsid w:val="00AD3C4B"/>
    <w:rsid w:val="00AE4BA9"/>
    <w:rsid w:val="00B207AE"/>
    <w:rsid w:val="00B219E2"/>
    <w:rsid w:val="00BA3C2A"/>
    <w:rsid w:val="00BA4010"/>
    <w:rsid w:val="00BC663E"/>
    <w:rsid w:val="00C05B3F"/>
    <w:rsid w:val="00C33460"/>
    <w:rsid w:val="00C77A63"/>
    <w:rsid w:val="00CD3EB7"/>
    <w:rsid w:val="00D23BE5"/>
    <w:rsid w:val="00D95007"/>
    <w:rsid w:val="00D96808"/>
    <w:rsid w:val="00DA5A26"/>
    <w:rsid w:val="00E909FC"/>
    <w:rsid w:val="00F06742"/>
    <w:rsid w:val="00F12E2D"/>
    <w:rsid w:val="00F2368F"/>
    <w:rsid w:val="00F36301"/>
    <w:rsid w:val="00F8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3A085"/>
  <w15:chartTrackingRefBased/>
  <w15:docId w15:val="{63EA7D96-5B59-4CE2-BAAC-AC0F0EF0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4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BA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0E4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F0E41"/>
  </w:style>
  <w:style w:type="paragraph" w:styleId="Footer">
    <w:name w:val="footer"/>
    <w:basedOn w:val="Normal"/>
    <w:link w:val="FooterChar"/>
    <w:uiPriority w:val="99"/>
    <w:unhideWhenUsed/>
    <w:rsid w:val="003F0E4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F0E41"/>
  </w:style>
  <w:style w:type="paragraph" w:styleId="BalloonText">
    <w:name w:val="Balloon Text"/>
    <w:basedOn w:val="Normal"/>
    <w:link w:val="BalloonTextChar"/>
    <w:uiPriority w:val="99"/>
    <w:semiHidden/>
    <w:unhideWhenUsed/>
    <w:rsid w:val="00D9680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616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13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774">
          <w:marLeft w:val="13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080">
          <w:marLeft w:val="13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dbhyt.baohiemxahoi.gov.v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dbhyt.baohiemxahoi.gov.vn" TargetMode="Externa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ngantt</dc:creator>
  <cp:keywords/>
  <dc:description/>
  <cp:lastModifiedBy>ngantt</cp:lastModifiedBy>
  <cp:revision>11</cp:revision>
  <cp:lastPrinted>2018-12-26T05:28:00Z</cp:lastPrinted>
  <dcterms:created xsi:type="dcterms:W3CDTF">2018-12-26T01:33:00Z</dcterms:created>
  <dcterms:modified xsi:type="dcterms:W3CDTF">2018-12-27T06:58:00Z</dcterms:modified>
</cp:coreProperties>
</file>